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2016/2017</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Instituția Publică Liceul Teoretic „M. Eliade”, mun. Chişinău</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Bănulescu Bodoni, 33</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CHISINAU, MUN.CHISINAU</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022233936</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Liceu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Româna</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1090</w:t>
            </w:r>
            <w:r w:rsidR="00220D3E" w:rsidRPr="00A41B69">
              <w:rPr>
                <w:rFonts w:ascii="Arial" w:hAnsi="Arial" w:cs="Arial"/>
                <w:color w:val="717171"/>
                <w:sz w:val="20"/>
                <w:szCs w:val="20"/>
              </w:rPr>
              <w:t xml:space="preserve"> </w:t>
            </w:r>
            <w:r>
              <w:rPr>
                <w:rFonts w:ascii="Arial" w:hAnsi="Arial" w:cs="Arial"/>
                <w:color w:val="717171"/>
                <w:sz w:val="20"/>
                <w:szCs w:val="20"/>
              </w:rPr>
              <w:t>557</w:t>
            </w:r>
            <w:r w:rsidR="00220D3E" w:rsidRPr="00A41B69">
              <w:rPr>
                <w:rFonts w:ascii="Arial" w:hAnsi="Arial" w:cs="Arial"/>
                <w:color w:val="717171"/>
                <w:sz w:val="20"/>
                <w:szCs w:val="20"/>
              </w:rPr>
              <w:t xml:space="preserve"> </w:t>
            </w:r>
            <w:r>
              <w:rPr>
                <w:rFonts w:ascii="Arial" w:hAnsi="Arial" w:cs="Arial"/>
                <w:color w:val="717171"/>
                <w:sz w:val="20"/>
                <w:szCs w:val="20"/>
              </w:rPr>
              <w:t>261</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34</w:t>
            </w:r>
            <w:r w:rsidR="00220D3E" w:rsidRPr="00A41B69">
              <w:rPr>
                <w:rFonts w:ascii="Arial" w:hAnsi="Arial" w:cs="Arial"/>
                <w:color w:val="717171"/>
                <w:sz w:val="20"/>
                <w:szCs w:val="20"/>
              </w:rPr>
              <w:t xml:space="preserve"> </w:t>
            </w:r>
            <w:r>
              <w:rPr>
                <w:rFonts w:ascii="Arial" w:hAnsi="Arial" w:cs="Arial"/>
                <w:color w:val="717171"/>
                <w:sz w:val="20"/>
                <w:szCs w:val="20"/>
              </w:rPr>
              <w:t>25</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67</w:t>
            </w:r>
            <w:r w:rsidR="00220D3E" w:rsidRPr="00A41B69">
              <w:rPr>
                <w:rFonts w:ascii="Arial" w:hAnsi="Arial" w:cs="Arial"/>
                <w:color w:val="717171"/>
                <w:sz w:val="20"/>
                <w:szCs w:val="20"/>
              </w:rPr>
              <w:t xml:space="preserve"> </w:t>
            </w:r>
            <w:r>
              <w:rPr>
                <w:rFonts w:ascii="Arial" w:hAnsi="Arial" w:cs="Arial"/>
                <w:color w:val="717171"/>
                <w:sz w:val="20"/>
                <w:szCs w:val="20"/>
              </w:rPr>
              <w:t>53</w:t>
            </w:r>
            <w:r w:rsidR="00220D3E" w:rsidRPr="00A41B69">
              <w:rPr>
                <w:rFonts w:ascii="Arial" w:hAnsi="Arial" w:cs="Arial"/>
                <w:color w:val="717171"/>
                <w:sz w:val="20"/>
                <w:szCs w:val="20"/>
              </w:rPr>
              <w:t xml:space="preserve"> </w:t>
            </w:r>
            <w:r>
              <w:rPr>
                <w:rFonts w:ascii="Arial" w:hAnsi="Arial" w:cs="Arial"/>
                <w:color w:val="717171"/>
                <w:sz w:val="20"/>
                <w:szCs w:val="20"/>
              </w:rPr>
              <w:t>26</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16</w:t>
            </w:r>
            <w:r w:rsidR="00220D3E" w:rsidRPr="00A41B69">
              <w:rPr>
                <w:rFonts w:ascii="Arial" w:hAnsi="Arial" w:cs="Arial"/>
                <w:color w:val="717171"/>
                <w:sz w:val="20"/>
                <w:szCs w:val="20"/>
              </w:rPr>
              <w:t xml:space="preserve"> </w:t>
            </w:r>
            <w:r>
              <w:rPr>
                <w:rFonts w:ascii="Arial" w:hAnsi="Arial" w:cs="Arial"/>
                <w:color w:val="717171"/>
                <w:sz w:val="20"/>
                <w:szCs w:val="20"/>
              </w:rPr>
              <w:t>11</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29,9</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7,0</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2,9</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37,3</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17,0</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9,9</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16,4</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44,4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51,8</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16,4</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31,6</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35,4</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9890,5</w:t>
            </w:r>
            <w:r w:rsidR="00F014B1" w:rsidRPr="00A41B69">
              <w:rPr>
                <w:rFonts w:ascii="Arial" w:hAnsi="Arial" w:cs="Arial"/>
                <w:b/>
                <w:sz w:val="18"/>
                <w:szCs w:val="18"/>
              </w:rPr>
              <w:t xml:space="preserve"> </w:t>
            </w:r>
            <w:r>
              <w:rPr>
                <w:rFonts w:ascii="Arial" w:hAnsi="Arial" w:cs="Arial"/>
                <w:color w:val="717171"/>
                <w:sz w:val="18"/>
                <w:szCs w:val="18"/>
              </w:rPr>
              <w:t>     10019,9</w:t>
            </w:r>
            <w:r w:rsidR="00F014B1" w:rsidRPr="00A41B69">
              <w:rPr>
                <w:rFonts w:ascii="Arial" w:hAnsi="Arial" w:cs="Arial"/>
                <w:color w:val="717171"/>
                <w:sz w:val="18"/>
                <w:szCs w:val="18"/>
              </w:rPr>
              <w:t xml:space="preserve"> </w:t>
            </w:r>
            <w:r>
              <w:rPr>
                <w:rFonts w:ascii="Arial" w:hAnsi="Arial" w:cs="Arial"/>
                <w:color w:val="A8A8A8"/>
                <w:sz w:val="18"/>
                <w:szCs w:val="18"/>
              </w:rPr>
              <w:t>     12348,1</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98,4</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98,4</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98,4</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62,4</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62,4</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62,4</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3,7</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3,7</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2016</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10 780,7</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3,0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3,0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3,0</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1,5</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1,5</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1,5</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24,5</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24,5</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24,5</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100,0%</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87,5%</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82,2%</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8,4</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6,1</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5,7</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8,5</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7,3</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9,0</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8,5</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100,0%</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96,8%</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7,7</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7,8</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9,0</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8,4</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100,0%</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97,0%</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96,9%</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7,7</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6,5</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7,8</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7,1</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9,0</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8,4</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100,0%%</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97,0%</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97,0%</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7,6</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6,5</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6,4</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7,8</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9,0</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8,4</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9,4</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6,8</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9,2</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6,3</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7,4</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9,1</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10,0</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8,4</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8,2</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7,5</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7,0</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8,2</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